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54092" w14:textId="5CFCA36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A2D98" w:rsidRPr="004A2D98">
        <w:t>94bis</w:t>
      </w:r>
      <w:r w:rsidRPr="00CE0424">
        <w:tab/>
      </w:r>
      <w:r w:rsidR="00091557" w:rsidRPr="00E942BF">
        <w:rPr>
          <w:sz w:val="32"/>
          <w:szCs w:val="32"/>
        </w:rPr>
        <w:t>R</w:t>
      </w:r>
      <w:r w:rsidR="008F1C4E" w:rsidRPr="00E942BF">
        <w:rPr>
          <w:sz w:val="32"/>
          <w:szCs w:val="32"/>
        </w:rPr>
        <w:t>1</w:t>
      </w:r>
      <w:r w:rsidR="00091557" w:rsidRPr="00E942BF">
        <w:rPr>
          <w:sz w:val="32"/>
          <w:szCs w:val="32"/>
        </w:rPr>
        <w:t>-</w:t>
      </w:r>
      <w:r w:rsidR="005F3025" w:rsidRPr="00E942BF">
        <w:rPr>
          <w:sz w:val="32"/>
          <w:szCs w:val="32"/>
        </w:rPr>
        <w:t>1</w:t>
      </w:r>
      <w:r w:rsidR="008F1C4E" w:rsidRPr="00E942BF">
        <w:rPr>
          <w:sz w:val="32"/>
          <w:szCs w:val="32"/>
        </w:rPr>
        <w:t>8</w:t>
      </w:r>
      <w:r w:rsidR="00E942BF" w:rsidRPr="00E942BF">
        <w:rPr>
          <w:sz w:val="32"/>
          <w:szCs w:val="32"/>
        </w:rPr>
        <w:t>11309</w:t>
      </w:r>
    </w:p>
    <w:p w14:paraId="624F3E54" w14:textId="33ACDD01" w:rsidR="00E90E49" w:rsidRPr="004A2D98" w:rsidRDefault="004A2D98" w:rsidP="00357380">
      <w:pPr>
        <w:pStyle w:val="3GPPHeader"/>
        <w:rPr>
          <w:bCs/>
        </w:rPr>
      </w:pPr>
      <w:r w:rsidRPr="004A2D98">
        <w:rPr>
          <w:bCs/>
        </w:rPr>
        <w:t>Chengdu, China, October 8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 – 12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, 2018 </w:t>
      </w:r>
    </w:p>
    <w:p w14:paraId="1516F60F" w14:textId="45F0C24E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9B0B63" w:rsidRPr="009B0B63">
        <w:rPr>
          <w:sz w:val="22"/>
          <w:szCs w:val="22"/>
          <w:lang w:val="sv-FI"/>
        </w:rPr>
        <w:t>7.2.2.5</w:t>
      </w:r>
    </w:p>
    <w:p w14:paraId="2CEA534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48881C3" w14:textId="118E918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81DF6">
        <w:rPr>
          <w:sz w:val="22"/>
          <w:szCs w:val="22"/>
        </w:rPr>
        <w:t>TP for 38.889 on numerology for NR-U</w:t>
      </w:r>
    </w:p>
    <w:p w14:paraId="73E6E29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B0B63">
        <w:rPr>
          <w:sz w:val="22"/>
          <w:szCs w:val="22"/>
        </w:rPr>
        <w:t>Discussion, Decision</w:t>
      </w:r>
    </w:p>
    <w:p w14:paraId="2BC9CFB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D71982" w14:textId="77777777" w:rsidR="00F81DF6" w:rsidRDefault="00F81DF6" w:rsidP="00F81DF6">
      <w:pPr>
        <w:rPr>
          <w:rFonts w:ascii="Arial" w:hAnsi="Arial" w:cs="Arial"/>
        </w:rPr>
      </w:pPr>
      <w:bookmarkStart w:id="0" w:name="_Ref178064866"/>
      <w:r w:rsidRPr="00104DC8">
        <w:rPr>
          <w:rFonts w:ascii="Arial" w:hAnsi="Arial" w:cs="Arial"/>
        </w:rPr>
        <w:t xml:space="preserve">During RAN1#92bis, the following agreement </w:t>
      </w:r>
      <w:r>
        <w:rPr>
          <w:rFonts w:ascii="Arial" w:hAnsi="Arial" w:cs="Arial"/>
        </w:rPr>
        <w:t>was</w:t>
      </w:r>
      <w:r w:rsidRPr="00104DC8">
        <w:rPr>
          <w:rFonts w:ascii="Arial" w:hAnsi="Arial" w:cs="Arial"/>
        </w:rPr>
        <w:t xml:space="preserve"> made</w:t>
      </w:r>
      <w:r>
        <w:rPr>
          <w:rFonts w:ascii="Arial" w:hAnsi="Arial" w:cs="Arial"/>
        </w:rPr>
        <w:t xml:space="preserve"> on numerology</w:t>
      </w:r>
      <w:r w:rsidRPr="00104DC8">
        <w:rPr>
          <w:rFonts w:ascii="Arial" w:hAnsi="Arial" w:cs="Arial"/>
        </w:rPr>
        <w:t xml:space="preserve">: </w:t>
      </w:r>
    </w:p>
    <w:p w14:paraId="3FFA9ED1" w14:textId="0F9ABD72" w:rsidR="00F81DF6" w:rsidRPr="00665E53" w:rsidRDefault="00F81DF6" w:rsidP="00F81DF6">
      <w:pPr>
        <w:spacing w:after="0"/>
        <w:rPr>
          <w:lang w:eastAsia="en-US"/>
        </w:rPr>
      </w:pPr>
      <w:r w:rsidRPr="00665E53">
        <w:rPr>
          <w:b/>
          <w:highlight w:val="green"/>
        </w:rPr>
        <w:t>Agreement</w:t>
      </w:r>
      <w:r w:rsidR="00711749">
        <w:rPr>
          <w:b/>
          <w:highlight w:val="green"/>
        </w:rPr>
        <w:t xml:space="preserve"> #1</w:t>
      </w:r>
      <w:r w:rsidRPr="00665E53">
        <w:rPr>
          <w:highlight w:val="green"/>
        </w:rPr>
        <w:t>:</w:t>
      </w:r>
    </w:p>
    <w:p w14:paraId="0CAB84E1" w14:textId="77777777" w:rsidR="00F81DF6" w:rsidRPr="00665E53" w:rsidRDefault="00F81DF6" w:rsidP="00F81DF6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665E53">
        <w:rPr>
          <w:lang w:val="en-US"/>
        </w:rPr>
        <w:t>…</w:t>
      </w:r>
    </w:p>
    <w:p w14:paraId="2B15741F" w14:textId="77777777" w:rsidR="00F81DF6" w:rsidRPr="00665E53" w:rsidRDefault="00F81DF6" w:rsidP="00F81DF6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>For sub-7 GHz, NR-U study the SCSs, 15/30/60kHz</w:t>
      </w:r>
    </w:p>
    <w:p w14:paraId="71148E91" w14:textId="77777777" w:rsidR="00F81DF6" w:rsidRPr="00665E53" w:rsidRDefault="00F81DF6" w:rsidP="00F81DF6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>Study performance difference between different SCS</w:t>
      </w:r>
    </w:p>
    <w:p w14:paraId="3CAE518E" w14:textId="77777777" w:rsidR="00F81DF6" w:rsidRPr="00665E53" w:rsidRDefault="00F81DF6" w:rsidP="00F81DF6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>Study if changes to UL design are needed to meet the PSD and OCB requirements</w:t>
      </w:r>
    </w:p>
    <w:p w14:paraId="067B7840" w14:textId="77777777" w:rsidR="00F81DF6" w:rsidRPr="00665E53" w:rsidRDefault="00F81DF6" w:rsidP="00F81DF6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 xml:space="preserve">Study if an SS block design/RMSI/OSI with 60kHz SCS is needed </w:t>
      </w:r>
    </w:p>
    <w:p w14:paraId="49C0E38D" w14:textId="77777777" w:rsidR="00F81DF6" w:rsidRPr="00665E53" w:rsidRDefault="00F81DF6" w:rsidP="00F81DF6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 xml:space="preserve">Impact on MIB and SIB1 content </w:t>
      </w:r>
    </w:p>
    <w:p w14:paraId="07E669D3" w14:textId="77777777" w:rsidR="00F81DF6" w:rsidRPr="00665E53" w:rsidRDefault="00F81DF6" w:rsidP="00F81DF6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>Need for use of ECP for 60kHz</w:t>
      </w:r>
    </w:p>
    <w:p w14:paraId="2D766FB6" w14:textId="77777777" w:rsidR="00F81DF6" w:rsidRPr="00665E53" w:rsidRDefault="00F81DF6" w:rsidP="00F81DF6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>RACH design with 60KHz SCS in addition to options currently part of NR</w:t>
      </w:r>
    </w:p>
    <w:p w14:paraId="33A86B77" w14:textId="77777777" w:rsidR="00F81DF6" w:rsidRPr="00665E53" w:rsidRDefault="00F81DF6" w:rsidP="00F81DF6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 xml:space="preserve">Other considerations are not precluded. </w:t>
      </w:r>
    </w:p>
    <w:p w14:paraId="5F2F7F9B" w14:textId="77777777" w:rsidR="00F81DF6" w:rsidRPr="00665E53" w:rsidRDefault="00F81DF6" w:rsidP="00F81DF6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i/>
          <w:lang w:val="en-US"/>
        </w:rPr>
      </w:pPr>
      <w:r w:rsidRPr="00665E53">
        <w:rPr>
          <w:i/>
          <w:lang w:val="en-US"/>
        </w:rPr>
        <w:t>Impact on support of different BWs with different SCS</w:t>
      </w:r>
    </w:p>
    <w:p w14:paraId="3C3F532C" w14:textId="77777777" w:rsidR="00F81DF6" w:rsidRPr="00665E53" w:rsidRDefault="00F81DF6" w:rsidP="00711749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val="en-US"/>
        </w:rPr>
      </w:pPr>
      <w:r w:rsidRPr="00665E53">
        <w:rPr>
          <w:lang w:val="en-US"/>
        </w:rPr>
        <w:t>…</w:t>
      </w:r>
      <w:r w:rsidRPr="00665E53">
        <w:rPr>
          <w:rFonts w:ascii="Arial" w:hAnsi="Arial" w:cs="Arial"/>
          <w:lang w:val="en-US"/>
        </w:rPr>
        <w:tab/>
      </w:r>
      <w:r w:rsidRPr="00665E53">
        <w:rPr>
          <w:rFonts w:ascii="Arial" w:hAnsi="Arial" w:cs="Arial"/>
          <w:lang w:val="en-US"/>
        </w:rPr>
        <w:tab/>
      </w:r>
    </w:p>
    <w:p w14:paraId="2D630DF1" w14:textId="12F8414E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610CF1A1" w14:textId="4D2E356D" w:rsidR="00711749" w:rsidRDefault="00711749" w:rsidP="00711749">
      <w:r>
        <w:t>In Agreement #1, it was concluded that numerology (SCS) for NR-U should be studied. The following table lists the specification impact of supporting the different numerology candidates for FR1 operation for NR-U. It is recommended that this be captured in the TR 38.889.</w:t>
      </w:r>
    </w:p>
    <w:p w14:paraId="0028F7F0" w14:textId="4C338494" w:rsidR="003A7EF3" w:rsidRDefault="00711749" w:rsidP="006B1EAA">
      <w:pPr>
        <w:pStyle w:val="Proposal"/>
      </w:pPr>
      <w:r>
        <w:t>Capture the specification impact of supporting different numerology candidates for FR1 operation for NR-U</w:t>
      </w:r>
      <w:bookmarkStart w:id="1" w:name="_In-sequence_SDU_delivery"/>
      <w:bookmarkEnd w:id="1"/>
      <w:r w:rsidR="00865F1A">
        <w:t xml:space="preserve"> in TR 38.889.</w:t>
      </w:r>
    </w:p>
    <w:p w14:paraId="435107B5" w14:textId="792D9D11" w:rsidR="00711749" w:rsidRDefault="00711749" w:rsidP="00711749">
      <w:r w:rsidRPr="00657921">
        <w:rPr>
          <w:highlight w:val="yellow"/>
        </w:rPr>
        <w:t xml:space="preserve">&gt;&gt;&gt; </w:t>
      </w:r>
      <w:r w:rsidR="00657921" w:rsidRPr="00657921">
        <w:rPr>
          <w:highlight w:val="yellow"/>
        </w:rPr>
        <w:t>Text Proposal for Section 7.2.1 of 38.889 &gt;&gt;&gt;</w:t>
      </w:r>
    </w:p>
    <w:p w14:paraId="169F6170" w14:textId="77777777" w:rsidR="00657921" w:rsidRDefault="00657921" w:rsidP="00657921">
      <w:pPr>
        <w:pStyle w:val="Heading3"/>
        <w:tabs>
          <w:tab w:val="left" w:pos="-1530"/>
        </w:tabs>
        <w:ind w:left="1170" w:hanging="1170"/>
      </w:pPr>
      <w:bookmarkStart w:id="2" w:name="_Toc507312044"/>
      <w:r>
        <w:t>7.2.1</w:t>
      </w:r>
      <w:r>
        <w:tab/>
        <w:t>Physical layer aspects</w:t>
      </w:r>
      <w:bookmarkEnd w:id="2"/>
    </w:p>
    <w:p w14:paraId="65EF80EC" w14:textId="6563B376" w:rsidR="00657921" w:rsidRDefault="00657921" w:rsidP="00711749">
      <w:r>
        <w:t>&gt;&gt;&gt; Text Omitted &gt;&gt;&gt;</w:t>
      </w:r>
    </w:p>
    <w:p w14:paraId="3CE8A104" w14:textId="77777777" w:rsidR="00BF3FFB" w:rsidRDefault="00BF3FFB" w:rsidP="0071174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330"/>
        <w:gridCol w:w="4234"/>
      </w:tblGrid>
      <w:tr w:rsidR="00BF3FFB" w14:paraId="04FD7028" w14:textId="77777777" w:rsidTr="00EC73DE">
        <w:tc>
          <w:tcPr>
            <w:tcW w:w="2065" w:type="dxa"/>
          </w:tcPr>
          <w:p w14:paraId="7CB9E5A7" w14:textId="77777777" w:rsidR="00BF3FFB" w:rsidRPr="000D773D" w:rsidRDefault="00BF3FFB" w:rsidP="00EC73DE">
            <w:pPr>
              <w:pStyle w:val="BodyText"/>
              <w:jc w:val="center"/>
              <w:rPr>
                <w:b/>
                <w:sz w:val="20"/>
              </w:rPr>
            </w:pPr>
            <w:bookmarkStart w:id="3" w:name="_Hlk525830964"/>
            <w:r w:rsidRPr="000D773D">
              <w:rPr>
                <w:b/>
                <w:sz w:val="20"/>
              </w:rPr>
              <w:t>Item</w:t>
            </w:r>
          </w:p>
        </w:tc>
        <w:tc>
          <w:tcPr>
            <w:tcW w:w="3330" w:type="dxa"/>
          </w:tcPr>
          <w:p w14:paraId="02AC3BC5" w14:textId="77777777" w:rsidR="00BF3FFB" w:rsidRPr="000D773D" w:rsidRDefault="00BF3FFB" w:rsidP="00EC73DE">
            <w:pPr>
              <w:pStyle w:val="BodyTex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15/</w:t>
            </w:r>
            <w:r w:rsidRPr="000D773D">
              <w:rPr>
                <w:b/>
                <w:sz w:val="20"/>
              </w:rPr>
              <w:t>30 kHz SCS</w:t>
            </w:r>
          </w:p>
        </w:tc>
        <w:tc>
          <w:tcPr>
            <w:tcW w:w="4234" w:type="dxa"/>
          </w:tcPr>
          <w:p w14:paraId="247DB109" w14:textId="77777777" w:rsidR="00BF3FFB" w:rsidRPr="000D773D" w:rsidRDefault="00BF3FFB" w:rsidP="00EC73DE">
            <w:pPr>
              <w:pStyle w:val="BodyText"/>
              <w:jc w:val="center"/>
              <w:rPr>
                <w:b/>
                <w:sz w:val="20"/>
              </w:rPr>
            </w:pPr>
            <w:r w:rsidRPr="000D773D">
              <w:rPr>
                <w:b/>
                <w:sz w:val="20"/>
              </w:rPr>
              <w:t>60 kHz SCS</w:t>
            </w:r>
          </w:p>
        </w:tc>
      </w:tr>
      <w:tr w:rsidR="00BF3FFB" w14:paraId="2D1BE280" w14:textId="77777777" w:rsidTr="00EC73DE">
        <w:tc>
          <w:tcPr>
            <w:tcW w:w="2065" w:type="dxa"/>
          </w:tcPr>
          <w:p w14:paraId="09C45666" w14:textId="77777777" w:rsidR="00BF3FFB" w:rsidRPr="000D773D" w:rsidRDefault="00BF3FFB" w:rsidP="00EC73DE">
            <w:pPr>
              <w:pStyle w:val="BodyText"/>
              <w:spacing w:after="0"/>
              <w:rPr>
                <w:sz w:val="20"/>
                <w:szCs w:val="16"/>
              </w:rPr>
            </w:pPr>
            <w:r w:rsidRPr="000D773D">
              <w:rPr>
                <w:sz w:val="20"/>
                <w:szCs w:val="16"/>
              </w:rPr>
              <w:t>UL Interlace Design</w:t>
            </w:r>
          </w:p>
        </w:tc>
        <w:tc>
          <w:tcPr>
            <w:tcW w:w="3330" w:type="dxa"/>
          </w:tcPr>
          <w:p w14:paraId="4C332C72" w14:textId="77777777" w:rsidR="00BF3FFB" w:rsidRPr="000D773D" w:rsidRDefault="00BF3FFB" w:rsidP="00EC73DE">
            <w:pPr>
              <w:pStyle w:val="BodyText"/>
              <w:spacing w:after="0"/>
              <w:rPr>
                <w:sz w:val="20"/>
                <w:szCs w:val="16"/>
              </w:rPr>
            </w:pPr>
            <w:r w:rsidRPr="000D773D">
              <w:rPr>
                <w:sz w:val="20"/>
                <w:szCs w:val="16"/>
              </w:rPr>
              <w:t>PRB-based agreed</w:t>
            </w:r>
          </w:p>
        </w:tc>
        <w:tc>
          <w:tcPr>
            <w:tcW w:w="4234" w:type="dxa"/>
          </w:tcPr>
          <w:p w14:paraId="623CDD64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t>May require sub-PRB interlacing to achieve power boosting gains. Sub-PRB operation has at least the following spec impact:</w:t>
            </w:r>
          </w:p>
          <w:p w14:paraId="54062636" w14:textId="77777777" w:rsidR="00BF3FFB" w:rsidRPr="00B949E1" w:rsidRDefault="00BF3FFB" w:rsidP="00BF3FFB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0"/>
                <w:szCs w:val="16"/>
                <w:lang w:val="en-US"/>
              </w:rPr>
            </w:pPr>
            <w:r w:rsidRPr="000D773D">
              <w:rPr>
                <w:sz w:val="20"/>
                <w:szCs w:val="16"/>
                <w:lang w:val="en-US" w:eastAsia="x-none"/>
              </w:rPr>
              <w:t>Reference signal design (e.g., DMRS, CSI-RS, SRS, etc.)</w:t>
            </w:r>
          </w:p>
          <w:p w14:paraId="0AF4BA24" w14:textId="77777777" w:rsidR="00BF3FFB" w:rsidRPr="000D773D" w:rsidRDefault="00BF3FFB" w:rsidP="00BF3FFB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0"/>
                <w:szCs w:val="16"/>
              </w:rPr>
            </w:pPr>
            <w:r w:rsidRPr="000D773D">
              <w:rPr>
                <w:sz w:val="20"/>
                <w:szCs w:val="16"/>
                <w:lang w:val="en-US" w:eastAsia="x-none"/>
              </w:rPr>
              <w:t>Channel estimation aspects</w:t>
            </w:r>
          </w:p>
          <w:p w14:paraId="6995A65B" w14:textId="77777777" w:rsidR="00BF3FFB" w:rsidRPr="000D773D" w:rsidRDefault="00BF3FFB" w:rsidP="00BF3FFB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0"/>
                <w:szCs w:val="16"/>
              </w:rPr>
            </w:pPr>
            <w:r w:rsidRPr="000D773D">
              <w:rPr>
                <w:sz w:val="20"/>
                <w:szCs w:val="16"/>
                <w:lang w:val="en-US" w:eastAsia="x-none"/>
              </w:rPr>
              <w:t>Resource allocation</w:t>
            </w:r>
          </w:p>
        </w:tc>
      </w:tr>
      <w:tr w:rsidR="00BF3FFB" w14:paraId="3D361F8B" w14:textId="77777777" w:rsidTr="00EC73DE">
        <w:tc>
          <w:tcPr>
            <w:tcW w:w="2065" w:type="dxa"/>
          </w:tcPr>
          <w:p w14:paraId="21CD227E" w14:textId="77777777" w:rsidR="00BF3FFB" w:rsidRPr="000D773D" w:rsidRDefault="00BF3FFB" w:rsidP="00EC73DE">
            <w:pPr>
              <w:pStyle w:val="BodyText"/>
              <w:spacing w:after="0"/>
              <w:rPr>
                <w:sz w:val="20"/>
                <w:szCs w:val="16"/>
              </w:rPr>
            </w:pPr>
            <w:r w:rsidRPr="000D773D">
              <w:rPr>
                <w:sz w:val="20"/>
                <w:szCs w:val="16"/>
              </w:rPr>
              <w:t>NR-U DRS Design</w:t>
            </w:r>
          </w:p>
        </w:tc>
        <w:tc>
          <w:tcPr>
            <w:tcW w:w="3330" w:type="dxa"/>
          </w:tcPr>
          <w:p w14:paraId="55B0F505" w14:textId="77777777" w:rsidR="00BF3FFB" w:rsidRPr="00B949E1" w:rsidRDefault="00BF3FFB" w:rsidP="00BF3FFB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t xml:space="preserve">SSB/PBCH </w:t>
            </w:r>
            <w:r>
              <w:rPr>
                <w:sz w:val="20"/>
                <w:szCs w:val="16"/>
                <w:lang w:val="en-US"/>
              </w:rPr>
              <w:t>design already supported</w:t>
            </w:r>
          </w:p>
          <w:p w14:paraId="00B491F8" w14:textId="77777777" w:rsidR="00BF3FFB" w:rsidRDefault="00BF3FFB" w:rsidP="00BF3FFB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lastRenderedPageBreak/>
              <w:t>FDM multiplexing of SIB1 and SS/PBCH blocks possible</w:t>
            </w:r>
          </w:p>
          <w:p w14:paraId="2A507FB5" w14:textId="77777777" w:rsidR="00BF3FFB" w:rsidRPr="00B949E1" w:rsidRDefault="00BF3FFB" w:rsidP="00EC73DE">
            <w:pPr>
              <w:pStyle w:val="BodyText"/>
              <w:spacing w:after="0"/>
              <w:ind w:left="360"/>
              <w:rPr>
                <w:sz w:val="20"/>
                <w:szCs w:val="16"/>
                <w:lang w:val="en-US"/>
              </w:rPr>
            </w:pPr>
          </w:p>
        </w:tc>
        <w:tc>
          <w:tcPr>
            <w:tcW w:w="4234" w:type="dxa"/>
          </w:tcPr>
          <w:p w14:paraId="6D400776" w14:textId="77777777" w:rsidR="00BF3FFB" w:rsidRPr="00B949E1" w:rsidRDefault="00BF3FFB" w:rsidP="00BF3FFB">
            <w:pPr>
              <w:pStyle w:val="BodyText"/>
              <w:numPr>
                <w:ilvl w:val="0"/>
                <w:numId w:val="28"/>
              </w:numPr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lastRenderedPageBreak/>
              <w:t>SSB/PBCH block time domain pattern not supported in Rel-15</w:t>
            </w:r>
          </w:p>
          <w:p w14:paraId="4C6B34DD" w14:textId="77777777" w:rsidR="00BF3FFB" w:rsidRPr="00B949E1" w:rsidRDefault="00BF3FFB" w:rsidP="00BF3FFB">
            <w:pPr>
              <w:pStyle w:val="BodyText"/>
              <w:numPr>
                <w:ilvl w:val="0"/>
                <w:numId w:val="28"/>
              </w:numPr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lastRenderedPageBreak/>
              <w:t>SSB/PBCH block – CORESET configuration tables (38.213, Section 13) not supported in Rel-15</w:t>
            </w:r>
          </w:p>
          <w:p w14:paraId="47D7CF3D" w14:textId="684B19DF" w:rsidR="00BF3FFB" w:rsidRPr="00846520" w:rsidRDefault="00BF3FFB" w:rsidP="00BF3FFB">
            <w:pPr>
              <w:pStyle w:val="BodyText"/>
              <w:numPr>
                <w:ilvl w:val="0"/>
                <w:numId w:val="28"/>
              </w:numPr>
              <w:spacing w:after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FDM multiplexing of SIB1 and SS/PBCH blocks not possible (initial BWP limited to 24 PRBs; SS/PBCH blocks </w:t>
            </w:r>
            <w:r w:rsidR="009A5E0B">
              <w:rPr>
                <w:sz w:val="20"/>
                <w:szCs w:val="16"/>
                <w:lang w:val="en-US"/>
              </w:rPr>
              <w:t>bandwidth is</w:t>
            </w:r>
            <w:r>
              <w:rPr>
                <w:sz w:val="20"/>
                <w:szCs w:val="16"/>
                <w:lang w:val="en-US"/>
              </w:rPr>
              <w:t xml:space="preserve"> 20 PRBs)</w:t>
            </w:r>
          </w:p>
        </w:tc>
      </w:tr>
      <w:tr w:rsidR="00BF3FFB" w14:paraId="3D706CCE" w14:textId="77777777" w:rsidTr="00EC73DE">
        <w:tc>
          <w:tcPr>
            <w:tcW w:w="2065" w:type="dxa"/>
          </w:tcPr>
          <w:p w14:paraId="6064DCCE" w14:textId="77777777" w:rsidR="00BF3FFB" w:rsidRPr="000D773D" w:rsidRDefault="00BF3FFB" w:rsidP="00EC73DE">
            <w:pPr>
              <w:pStyle w:val="BodyText"/>
              <w:spacing w:after="0"/>
              <w:rPr>
                <w:sz w:val="20"/>
                <w:szCs w:val="16"/>
              </w:rPr>
            </w:pPr>
            <w:r w:rsidRPr="000D773D">
              <w:rPr>
                <w:sz w:val="20"/>
                <w:szCs w:val="16"/>
              </w:rPr>
              <w:lastRenderedPageBreak/>
              <w:t>ECP Support</w:t>
            </w:r>
          </w:p>
        </w:tc>
        <w:tc>
          <w:tcPr>
            <w:tcW w:w="3330" w:type="dxa"/>
          </w:tcPr>
          <w:p w14:paraId="1877A55A" w14:textId="77777777" w:rsidR="00BF3FFB" w:rsidRPr="000D773D" w:rsidRDefault="00BF3FFB" w:rsidP="00EC73DE">
            <w:pPr>
              <w:pStyle w:val="BodyText"/>
              <w:spacing w:after="0"/>
              <w:rPr>
                <w:sz w:val="20"/>
                <w:szCs w:val="16"/>
              </w:rPr>
            </w:pPr>
            <w:r w:rsidRPr="000D773D">
              <w:rPr>
                <w:sz w:val="20"/>
                <w:szCs w:val="16"/>
              </w:rPr>
              <w:t>Not needed</w:t>
            </w:r>
          </w:p>
        </w:tc>
        <w:tc>
          <w:tcPr>
            <w:tcW w:w="4234" w:type="dxa"/>
          </w:tcPr>
          <w:p w14:paraId="410F315B" w14:textId="77777777" w:rsidR="00BF3FFB" w:rsidRDefault="00BF3FFB" w:rsidP="00BF3FFB">
            <w:pPr>
              <w:pStyle w:val="BodyText"/>
              <w:numPr>
                <w:ilvl w:val="0"/>
                <w:numId w:val="30"/>
              </w:numPr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t xml:space="preserve">SSB/PBCH block time domain patterns not supported for ECP in Rel-15 </w:t>
            </w:r>
          </w:p>
          <w:p w14:paraId="7EE54AB8" w14:textId="77777777" w:rsidR="00BF3FFB" w:rsidRPr="00B949E1" w:rsidRDefault="00BF3FFB" w:rsidP="00BF3FFB">
            <w:pPr>
              <w:pStyle w:val="BodyText"/>
              <w:numPr>
                <w:ilvl w:val="0"/>
                <w:numId w:val="30"/>
              </w:numPr>
              <w:spacing w:after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ECP beneficial for RMS delay spreads greater than 500 ns</w:t>
            </w:r>
          </w:p>
        </w:tc>
      </w:tr>
      <w:tr w:rsidR="00BF3FFB" w14:paraId="79EB771B" w14:textId="77777777" w:rsidTr="00EC73DE">
        <w:tc>
          <w:tcPr>
            <w:tcW w:w="2065" w:type="dxa"/>
          </w:tcPr>
          <w:p w14:paraId="1D0AED56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t>RRC signaling of SCS for SS/PBCH and PRACH numerologies for NSA operation</w:t>
            </w:r>
          </w:p>
        </w:tc>
        <w:tc>
          <w:tcPr>
            <w:tcW w:w="3330" w:type="dxa"/>
          </w:tcPr>
          <w:p w14:paraId="473FAF31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t xml:space="preserve">Signaling </w:t>
            </w:r>
            <w:r>
              <w:rPr>
                <w:sz w:val="20"/>
                <w:szCs w:val="16"/>
                <w:lang w:val="en-US"/>
              </w:rPr>
              <w:t>already supported</w:t>
            </w:r>
          </w:p>
        </w:tc>
        <w:tc>
          <w:tcPr>
            <w:tcW w:w="4234" w:type="dxa"/>
          </w:tcPr>
          <w:p w14:paraId="7130D86B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t>Signaling of 60 kHz not supported for FR1 in Rel-15</w:t>
            </w:r>
          </w:p>
        </w:tc>
      </w:tr>
      <w:tr w:rsidR="00BF3FFB" w14:paraId="61B67A6D" w14:textId="77777777" w:rsidTr="00EC73DE">
        <w:tc>
          <w:tcPr>
            <w:tcW w:w="2065" w:type="dxa"/>
          </w:tcPr>
          <w:p w14:paraId="594538EC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t>PBCH signaling of SCS for Msg 2/4 and SI for NSA operation</w:t>
            </w:r>
          </w:p>
        </w:tc>
        <w:tc>
          <w:tcPr>
            <w:tcW w:w="3330" w:type="dxa"/>
          </w:tcPr>
          <w:p w14:paraId="4FA5A826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Signaling already supported</w:t>
            </w:r>
          </w:p>
        </w:tc>
        <w:tc>
          <w:tcPr>
            <w:tcW w:w="4234" w:type="dxa"/>
          </w:tcPr>
          <w:p w14:paraId="2130A1A8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 w:rsidRPr="00B949E1">
              <w:rPr>
                <w:sz w:val="20"/>
                <w:szCs w:val="16"/>
                <w:lang w:val="en-US"/>
              </w:rPr>
              <w:t>Signaling of 60 kHz not supported for FR1 in Rel-15</w:t>
            </w:r>
          </w:p>
        </w:tc>
      </w:tr>
      <w:tr w:rsidR="00BF3FFB" w14:paraId="659AB043" w14:textId="77777777" w:rsidTr="00EC73DE">
        <w:tc>
          <w:tcPr>
            <w:tcW w:w="2065" w:type="dxa"/>
          </w:tcPr>
          <w:p w14:paraId="3083A3FB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Extension of </w:t>
            </w:r>
            <w:r w:rsidRPr="00B949E1">
              <w:rPr>
                <w:sz w:val="20"/>
                <w:szCs w:val="16"/>
                <w:lang w:val="en-US"/>
              </w:rPr>
              <w:t>PDSCH-to-HARQ timing values in DCI</w:t>
            </w:r>
            <w:r>
              <w:rPr>
                <w:sz w:val="20"/>
                <w:szCs w:val="16"/>
                <w:lang w:val="en-US"/>
              </w:rPr>
              <w:t xml:space="preserve"> to indicate timing up to largest COT allowed by regulation </w:t>
            </w:r>
          </w:p>
        </w:tc>
        <w:tc>
          <w:tcPr>
            <w:tcW w:w="3330" w:type="dxa"/>
          </w:tcPr>
          <w:p w14:paraId="45369BBD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Extension to 5 bits is beneficial</w:t>
            </w:r>
          </w:p>
        </w:tc>
        <w:tc>
          <w:tcPr>
            <w:tcW w:w="4234" w:type="dxa"/>
          </w:tcPr>
          <w:p w14:paraId="5B018D68" w14:textId="77777777" w:rsidR="00BF3FFB" w:rsidRPr="00B949E1" w:rsidRDefault="00BF3FFB" w:rsidP="00EC73DE">
            <w:pPr>
              <w:pStyle w:val="BodyText"/>
              <w:spacing w:after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E</w:t>
            </w:r>
            <w:r w:rsidRPr="00B949E1">
              <w:rPr>
                <w:sz w:val="20"/>
                <w:szCs w:val="16"/>
                <w:lang w:val="en-US"/>
              </w:rPr>
              <w:t xml:space="preserve">xtension to 6 bits </w:t>
            </w:r>
            <w:r>
              <w:rPr>
                <w:sz w:val="20"/>
                <w:szCs w:val="16"/>
                <w:lang w:val="en-US"/>
              </w:rPr>
              <w:t>beneficial</w:t>
            </w:r>
          </w:p>
        </w:tc>
      </w:tr>
      <w:tr w:rsidR="00034EBE" w14:paraId="4E1EC8AD" w14:textId="77777777" w:rsidTr="00EC73DE">
        <w:tc>
          <w:tcPr>
            <w:tcW w:w="2065" w:type="dxa"/>
          </w:tcPr>
          <w:p w14:paraId="597DF9FF" w14:textId="6F75563F" w:rsidR="00034EBE" w:rsidRPr="00BA44D1" w:rsidRDefault="00034EBE" w:rsidP="00034EBE">
            <w:pPr>
              <w:pStyle w:val="BodyText"/>
              <w:spacing w:after="0"/>
              <w:rPr>
                <w:sz w:val="20"/>
                <w:szCs w:val="20"/>
                <w:lang w:val="en-US"/>
              </w:rPr>
            </w:pPr>
            <w:r w:rsidRPr="00BA44D1">
              <w:rPr>
                <w:sz w:val="20"/>
                <w:szCs w:val="20"/>
                <w:lang w:val="en-US"/>
              </w:rPr>
              <w:t>Possible extension of the number of HARQ IDs to fully exploit the largest COT without gaps allowed by regulation</w:t>
            </w:r>
          </w:p>
        </w:tc>
        <w:tc>
          <w:tcPr>
            <w:tcW w:w="3330" w:type="dxa"/>
          </w:tcPr>
          <w:p w14:paraId="50EC9D74" w14:textId="2B1DE564" w:rsidR="00034EBE" w:rsidRPr="00BA44D1" w:rsidRDefault="00034EBE" w:rsidP="00034EBE">
            <w:pPr>
              <w:pStyle w:val="BodyText"/>
              <w:spacing w:after="0"/>
              <w:rPr>
                <w:sz w:val="20"/>
                <w:szCs w:val="20"/>
                <w:lang w:val="en-US"/>
              </w:rPr>
            </w:pPr>
            <w:r w:rsidRPr="00BA44D1">
              <w:rPr>
                <w:sz w:val="20"/>
                <w:szCs w:val="20"/>
                <w:lang w:val="en-US"/>
              </w:rPr>
              <w:t>No extensi</w:t>
            </w:r>
            <w:bookmarkStart w:id="4" w:name="_GoBack"/>
            <w:bookmarkEnd w:id="4"/>
            <w:r w:rsidRPr="00BA44D1">
              <w:rPr>
                <w:sz w:val="20"/>
                <w:szCs w:val="20"/>
                <w:lang w:val="en-US"/>
              </w:rPr>
              <w:t>on required</w:t>
            </w:r>
          </w:p>
        </w:tc>
        <w:tc>
          <w:tcPr>
            <w:tcW w:w="4234" w:type="dxa"/>
          </w:tcPr>
          <w:p w14:paraId="2061419C" w14:textId="73E25299" w:rsidR="00034EBE" w:rsidRPr="00BA44D1" w:rsidRDefault="00034EBE" w:rsidP="00034EBE">
            <w:pPr>
              <w:pStyle w:val="BodyText"/>
              <w:spacing w:after="0"/>
              <w:rPr>
                <w:sz w:val="20"/>
                <w:szCs w:val="20"/>
                <w:lang w:val="en-US"/>
              </w:rPr>
            </w:pPr>
            <w:r w:rsidRPr="00BA44D1">
              <w:rPr>
                <w:sz w:val="20"/>
                <w:szCs w:val="20"/>
                <w:lang w:val="en-US"/>
              </w:rPr>
              <w:t xml:space="preserve">Extension to more than 16 may be needed (24 slots in a 6 </w:t>
            </w:r>
            <w:proofErr w:type="spellStart"/>
            <w:r w:rsidRPr="00BA44D1">
              <w:rPr>
                <w:sz w:val="20"/>
                <w:szCs w:val="20"/>
                <w:lang w:val="en-US"/>
              </w:rPr>
              <w:t>ms</w:t>
            </w:r>
            <w:proofErr w:type="spellEnd"/>
            <w:r w:rsidRPr="00BA44D1">
              <w:rPr>
                <w:sz w:val="20"/>
                <w:szCs w:val="20"/>
                <w:lang w:val="en-US"/>
              </w:rPr>
              <w:t xml:space="preserve"> COT)</w:t>
            </w:r>
          </w:p>
        </w:tc>
      </w:tr>
      <w:bookmarkEnd w:id="3"/>
    </w:tbl>
    <w:p w14:paraId="06A2C78B" w14:textId="0CEDF990" w:rsidR="00657921" w:rsidRDefault="00657921" w:rsidP="00711749"/>
    <w:p w14:paraId="7F87469F" w14:textId="6B33B825" w:rsidR="00657921" w:rsidRPr="00CE0424" w:rsidRDefault="00657921" w:rsidP="00711749">
      <w:r w:rsidRPr="00657921">
        <w:rPr>
          <w:highlight w:val="yellow"/>
        </w:rPr>
        <w:t>&gt;&gt;&gt; End Text Proposal &gt;&gt;&gt;</w:t>
      </w:r>
    </w:p>
    <w:sectPr w:rsidR="00657921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2465C" w14:textId="77777777" w:rsidR="00783208" w:rsidRDefault="00783208">
      <w:r>
        <w:separator/>
      </w:r>
    </w:p>
  </w:endnote>
  <w:endnote w:type="continuationSeparator" w:id="0">
    <w:p w14:paraId="0D587E18" w14:textId="77777777" w:rsidR="00783208" w:rsidRDefault="0078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F04D6" w14:textId="77777777" w:rsidR="00783208" w:rsidRDefault="00783208">
      <w:r>
        <w:separator/>
      </w:r>
    </w:p>
  </w:footnote>
  <w:footnote w:type="continuationSeparator" w:id="0">
    <w:p w14:paraId="1FD68FEA" w14:textId="77777777" w:rsidR="00783208" w:rsidRDefault="00783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F8F694E"/>
    <w:multiLevelType w:val="hybridMultilevel"/>
    <w:tmpl w:val="223A70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4"/>
  </w:num>
  <w:num w:numId="17">
    <w:abstractNumId w:val="7"/>
  </w:num>
  <w:num w:numId="18">
    <w:abstractNumId w:val="9"/>
  </w:num>
  <w:num w:numId="19">
    <w:abstractNumId w:val="5"/>
  </w:num>
  <w:num w:numId="20">
    <w:abstractNumId w:val="28"/>
  </w:num>
  <w:num w:numId="21">
    <w:abstractNumId w:val="13"/>
  </w:num>
  <w:num w:numId="22">
    <w:abstractNumId w:val="26"/>
  </w:num>
  <w:num w:numId="23">
    <w:abstractNumId w:val="25"/>
  </w:num>
  <w:num w:numId="24">
    <w:abstractNumId w:val="6"/>
  </w:num>
  <w:num w:numId="25">
    <w:abstractNumId w:val="18"/>
  </w:num>
  <w:num w:numId="26">
    <w:abstractNumId w:val="19"/>
  </w:num>
  <w:num w:numId="27">
    <w:abstractNumId w:val="27"/>
  </w:num>
  <w:num w:numId="28">
    <w:abstractNumId w:val="4"/>
  </w:num>
  <w:num w:numId="29">
    <w:abstractNumId w:val="8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11B28"/>
    <w:rsid w:val="00015D15"/>
    <w:rsid w:val="000253F2"/>
    <w:rsid w:val="0002564D"/>
    <w:rsid w:val="00025ECA"/>
    <w:rsid w:val="000325B8"/>
    <w:rsid w:val="00034C15"/>
    <w:rsid w:val="00034EBE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7D27"/>
    <w:rsid w:val="000C165A"/>
    <w:rsid w:val="000C2E19"/>
    <w:rsid w:val="000C71B7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5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5B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DE8"/>
    <w:rsid w:val="001C1CE5"/>
    <w:rsid w:val="001C3D2A"/>
    <w:rsid w:val="001C78F9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23A"/>
    <w:rsid w:val="00370E47"/>
    <w:rsid w:val="003742AC"/>
    <w:rsid w:val="00377CE1"/>
    <w:rsid w:val="00385BF0"/>
    <w:rsid w:val="003939FF"/>
    <w:rsid w:val="00397A1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DE7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97F"/>
    <w:rsid w:val="004734D0"/>
    <w:rsid w:val="0047556B"/>
    <w:rsid w:val="00477768"/>
    <w:rsid w:val="00492BC5"/>
    <w:rsid w:val="004964F1"/>
    <w:rsid w:val="004A16BC"/>
    <w:rsid w:val="004A2B94"/>
    <w:rsid w:val="004A2D98"/>
    <w:rsid w:val="004B6F6A"/>
    <w:rsid w:val="004B7C0C"/>
    <w:rsid w:val="004C3898"/>
    <w:rsid w:val="004D36B1"/>
    <w:rsid w:val="004D5DB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3F4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921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1EAA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749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E3C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208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D79FB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5F1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0D9D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5E0B"/>
    <w:rsid w:val="009B0B63"/>
    <w:rsid w:val="009B1F30"/>
    <w:rsid w:val="009B3AC2"/>
    <w:rsid w:val="009B4DF4"/>
    <w:rsid w:val="009B564E"/>
    <w:rsid w:val="009B7E87"/>
    <w:rsid w:val="009C0169"/>
    <w:rsid w:val="009C07E3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C9"/>
    <w:rsid w:val="00B05084"/>
    <w:rsid w:val="00B1025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4D1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FFB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29B4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AED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091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2BF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0E25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DF6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786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4CAF8"/>
  <w15:chartTrackingRefBased/>
  <w15:docId w15:val="{9632743E-4CBD-4501-A807-C3B0CD9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80FE9-7267-4BAB-B2DD-A1419A3B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2797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Stephen Grant</cp:lastModifiedBy>
  <cp:revision>15</cp:revision>
  <cp:lastPrinted>2008-01-31T07:09:00Z</cp:lastPrinted>
  <dcterms:created xsi:type="dcterms:W3CDTF">2018-09-17T07:58:00Z</dcterms:created>
  <dcterms:modified xsi:type="dcterms:W3CDTF">2018-09-28T23:44:00Z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